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25AC" w14:textId="77777777" w:rsidR="00D43424" w:rsidRDefault="00D43424" w:rsidP="00D43424">
      <w:pPr>
        <w:pStyle w:val="2"/>
        <w:shd w:val="clear" w:color="auto" w:fill="FFFFFF"/>
        <w:spacing w:before="225" w:beforeAutospacing="0" w:after="225" w:afterAutospacing="0" w:line="360" w:lineRule="atLeast"/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</w:pPr>
      <w:r>
        <w:rPr>
          <w:rFonts w:ascii="Roboto" w:hAnsi="Roboto"/>
          <w:b w:val="0"/>
          <w:bCs w:val="0"/>
          <w:color w:val="555555"/>
          <w:spacing w:val="3"/>
          <w:sz w:val="30"/>
          <w:szCs w:val="30"/>
        </w:rPr>
        <w:t>Инструкция по применению средства гигиенического ухода за глазами ЛОСЬОН ДЛЯ ГЛАЗ «РОМАШКА»</w:t>
      </w:r>
    </w:p>
    <w:p w14:paraId="37992063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Назначение:</w:t>
      </w:r>
    </w:p>
    <w:p w14:paraId="087C34D5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применяют для гигиенической обработки глаз собак, кошек и других мелких домашних животных при наличии гнойных выделений, связанных с травмами, повреждениями конъюнктивы. Лосьон является отваром цветков ромашки, обладающей противовоспалительными, успокаивающими и бактерицидными свойствами.</w:t>
      </w:r>
    </w:p>
    <w:p w14:paraId="20039211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Оказывает отбеливающее действие на светлую и белую шерсть, не меняет цвет темной шерсти.</w:t>
      </w:r>
    </w:p>
    <w:p w14:paraId="440762FA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Способ применения:</w:t>
      </w:r>
    </w:p>
    <w:p w14:paraId="6A6CF1A0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обработку проводят ватным тампоном, смоченным лосьоном, от наружного угла глаза к внутреннему, с удалением выделений. Затем повторяют обработку уже очищенного глаза вторым ватным тампоном в том же порядке.</w:t>
      </w:r>
    </w:p>
    <w:p w14:paraId="707E7B09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Рекомендации:</w:t>
      </w:r>
    </w:p>
    <w:p w14:paraId="3F430866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только для наружного применения. Не является лекарственным средством.</w:t>
      </w:r>
    </w:p>
    <w:p w14:paraId="09A5FBE9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Гипоаллергенно. Возможна индивидуальная непереносимость.</w:t>
      </w:r>
    </w:p>
    <w:p w14:paraId="3FBDDEBB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Состав:</w:t>
      </w:r>
    </w:p>
    <w:p w14:paraId="7216718A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вода очищенная; извлечение из растительного сырья, соответствующее названию лосьона: цветков ромашки.</w:t>
      </w:r>
    </w:p>
    <w:p w14:paraId="620EB185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Фасовка:</w:t>
      </w:r>
    </w:p>
    <w:p w14:paraId="68BD14DB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средство выпускают в форме отвара, расфасованного в стеклянные флаконы по 10 мл. Три флакона вместе с инструкцией по применению и ножом для вскрытия помещают в пачку из картона коробочного.</w:t>
      </w:r>
    </w:p>
    <w:p w14:paraId="38D5F1B9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Условия хранения:</w:t>
      </w:r>
    </w:p>
    <w:p w14:paraId="02A709B9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хранить при температуре от 0° С до 25°С.</w:t>
      </w:r>
    </w:p>
    <w:p w14:paraId="5D2CA492" w14:textId="77777777" w:rsid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Вскрытый флакон с оставшимся неиспользованным лосьоном следует хранить в холодильнике (от +4º до +8º) с закупоренной резиновой пробкой не более 5 дней. Перед применением лосьон следует нагреть до комнатной температуры и встряхнуть.</w:t>
      </w:r>
    </w:p>
    <w:p w14:paraId="14B24EE2" w14:textId="77777777" w:rsidR="00D43424" w:rsidRDefault="00D43424" w:rsidP="00D43424">
      <w:pPr>
        <w:pStyle w:val="3"/>
        <w:numPr>
          <w:ilvl w:val="0"/>
          <w:numId w:val="33"/>
        </w:numPr>
        <w:shd w:val="clear" w:color="auto" w:fill="FFFFFF"/>
        <w:spacing w:before="225" w:beforeAutospacing="0" w:after="0" w:afterAutospacing="0" w:line="240" w:lineRule="atLeast"/>
        <w:ind w:left="1170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Срок годности:</w:t>
      </w:r>
    </w:p>
    <w:p w14:paraId="7F013FE2" w14:textId="72CA085D" w:rsidR="00631E1B" w:rsidRPr="00D43424" w:rsidRDefault="00D43424" w:rsidP="00D43424">
      <w:pPr>
        <w:pStyle w:val="a3"/>
        <w:shd w:val="clear" w:color="auto" w:fill="FFFFFF"/>
        <w:spacing w:before="0" w:beforeAutospacing="0" w:after="135" w:afterAutospacing="0" w:line="360" w:lineRule="atLeast"/>
        <w:ind w:left="1170"/>
        <w:rPr>
          <w:rFonts w:ascii="Roboto" w:hAnsi="Roboto"/>
          <w:color w:val="333333"/>
          <w:sz w:val="20"/>
          <w:szCs w:val="20"/>
        </w:rPr>
      </w:pPr>
      <w:r>
        <w:rPr>
          <w:rFonts w:ascii="Roboto" w:hAnsi="Roboto"/>
          <w:color w:val="333333"/>
          <w:sz w:val="20"/>
          <w:szCs w:val="20"/>
        </w:rPr>
        <w:t>один год со дня изготовления при соблюдении условий хранения.</w:t>
      </w:r>
    </w:p>
    <w:sectPr w:rsidR="00631E1B" w:rsidRPr="00D43424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3"/>
  </w:num>
  <w:num w:numId="2" w16cid:durableId="996036624">
    <w:abstractNumId w:val="19"/>
  </w:num>
  <w:num w:numId="3" w16cid:durableId="1406957204">
    <w:abstractNumId w:val="27"/>
  </w:num>
  <w:num w:numId="4" w16cid:durableId="1614511403">
    <w:abstractNumId w:val="9"/>
  </w:num>
  <w:num w:numId="5" w16cid:durableId="1483349259">
    <w:abstractNumId w:val="5"/>
  </w:num>
  <w:num w:numId="6" w16cid:durableId="1500005018">
    <w:abstractNumId w:val="7"/>
  </w:num>
  <w:num w:numId="7" w16cid:durableId="1412772343">
    <w:abstractNumId w:val="17"/>
  </w:num>
  <w:num w:numId="8" w16cid:durableId="81492105">
    <w:abstractNumId w:val="30"/>
  </w:num>
  <w:num w:numId="9" w16cid:durableId="1669750287">
    <w:abstractNumId w:val="0"/>
  </w:num>
  <w:num w:numId="10" w16cid:durableId="247429257">
    <w:abstractNumId w:val="31"/>
  </w:num>
  <w:num w:numId="11" w16cid:durableId="751318770">
    <w:abstractNumId w:val="20"/>
  </w:num>
  <w:num w:numId="12" w16cid:durableId="1257052888">
    <w:abstractNumId w:val="29"/>
  </w:num>
  <w:num w:numId="13" w16cid:durableId="1587572664">
    <w:abstractNumId w:val="15"/>
  </w:num>
  <w:num w:numId="14" w16cid:durableId="2092117633">
    <w:abstractNumId w:val="11"/>
  </w:num>
  <w:num w:numId="15" w16cid:durableId="1256936436">
    <w:abstractNumId w:val="26"/>
  </w:num>
  <w:num w:numId="16" w16cid:durableId="806819352">
    <w:abstractNumId w:val="1"/>
  </w:num>
  <w:num w:numId="17" w16cid:durableId="395906854">
    <w:abstractNumId w:val="28"/>
  </w:num>
  <w:num w:numId="18" w16cid:durableId="62601868">
    <w:abstractNumId w:val="21"/>
  </w:num>
  <w:num w:numId="19" w16cid:durableId="96562799">
    <w:abstractNumId w:val="23"/>
  </w:num>
  <w:num w:numId="20" w16cid:durableId="2081832108">
    <w:abstractNumId w:val="25"/>
  </w:num>
  <w:num w:numId="21" w16cid:durableId="1047803316">
    <w:abstractNumId w:val="24"/>
  </w:num>
  <w:num w:numId="22" w16cid:durableId="308940112">
    <w:abstractNumId w:val="3"/>
  </w:num>
  <w:num w:numId="23" w16cid:durableId="1180849489">
    <w:abstractNumId w:val="16"/>
  </w:num>
  <w:num w:numId="24" w16cid:durableId="1797412637">
    <w:abstractNumId w:val="2"/>
  </w:num>
  <w:num w:numId="25" w16cid:durableId="867526127">
    <w:abstractNumId w:val="12"/>
  </w:num>
  <w:num w:numId="26" w16cid:durableId="552473043">
    <w:abstractNumId w:val="6"/>
  </w:num>
  <w:num w:numId="27" w16cid:durableId="418066243">
    <w:abstractNumId w:val="8"/>
  </w:num>
  <w:num w:numId="28" w16cid:durableId="1759787948">
    <w:abstractNumId w:val="18"/>
  </w:num>
  <w:num w:numId="29" w16cid:durableId="981273463">
    <w:abstractNumId w:val="10"/>
  </w:num>
  <w:num w:numId="30" w16cid:durableId="888153008">
    <w:abstractNumId w:val="4"/>
  </w:num>
  <w:num w:numId="31" w16cid:durableId="664019336">
    <w:abstractNumId w:val="32"/>
  </w:num>
  <w:num w:numId="32" w16cid:durableId="1554925781">
    <w:abstractNumId w:val="14"/>
  </w:num>
  <w:num w:numId="33" w16cid:durableId="19249915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61E7E"/>
    <w:rsid w:val="00CA4583"/>
    <w:rsid w:val="00D4268C"/>
    <w:rsid w:val="00D43424"/>
    <w:rsid w:val="00D47E70"/>
    <w:rsid w:val="00E07624"/>
    <w:rsid w:val="00E73EB8"/>
    <w:rsid w:val="00EE2B80"/>
    <w:rsid w:val="00F2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2022-07-21T19:47:00Z</dcterms:created>
  <dcterms:modified xsi:type="dcterms:W3CDTF">2022-07-21T19:47:00Z</dcterms:modified>
</cp:coreProperties>
</file>